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F6261" w14:textId="77777777" w:rsidR="008E10E7" w:rsidRDefault="008E10E7">
      <w:pPr>
        <w:suppressAutoHyphens/>
        <w:jc w:val="both"/>
        <w:rPr>
          <w:rFonts w:ascii="Arial" w:hAnsi="Arial" w:cs="Arial"/>
          <w:b/>
          <w:bCs/>
          <w:lang w:val="fr-FR"/>
        </w:rPr>
      </w:pPr>
      <w:r>
        <w:rPr>
          <w:rFonts w:ascii="Arial" w:hAnsi="Arial" w:cs="Arial"/>
          <w:b/>
          <w:bCs/>
          <w:sz w:val="28"/>
          <w:szCs w:val="28"/>
          <w:u w:val="single"/>
          <w:lang w:val="fr-FR"/>
        </w:rPr>
        <w:t>Gastronorm – Couvercle d'étanchéité GDD 1/1</w:t>
      </w:r>
      <w:r>
        <w:rPr>
          <w:rFonts w:ascii="Arial" w:hAnsi="Arial" w:cs="Arial"/>
          <w:b/>
          <w:bCs/>
          <w:lang w:val="fr-FR"/>
        </w:rPr>
        <w:fldChar w:fldCharType="begin"/>
      </w:r>
      <w:r>
        <w:rPr>
          <w:rFonts w:ascii="Arial" w:hAnsi="Arial" w:cs="Arial"/>
          <w:b/>
          <w:bCs/>
          <w:lang w:val="fr-FR"/>
        </w:rPr>
        <w:instrText xml:space="preserve">PRIVATE </w:instrText>
      </w:r>
      <w:r>
        <w:rPr>
          <w:rFonts w:ascii="Arial" w:hAnsi="Arial" w:cs="Arial"/>
          <w:b/>
          <w:bCs/>
          <w:lang w:val="fr-FR"/>
        </w:rPr>
      </w:r>
      <w:r>
        <w:rPr>
          <w:rFonts w:ascii="Arial" w:hAnsi="Arial" w:cs="Arial"/>
          <w:b/>
          <w:bCs/>
          <w:lang w:val="fr-FR"/>
        </w:rPr>
        <w:fldChar w:fldCharType="end"/>
      </w:r>
      <w:r>
        <w:rPr>
          <w:rFonts w:ascii="Arial" w:hAnsi="Arial" w:cs="Arial"/>
          <w:b/>
          <w:bCs/>
          <w:lang w:val="fr-FR"/>
        </w:rPr>
        <w:t xml:space="preserve"> </w:t>
      </w:r>
    </w:p>
    <w:p w14:paraId="0EDDF0A4" w14:textId="77777777" w:rsidR="008E10E7" w:rsidRDefault="008E10E7">
      <w:pPr>
        <w:suppressAutoHyphens/>
        <w:jc w:val="both"/>
        <w:rPr>
          <w:rFonts w:ascii="Arial" w:hAnsi="Arial" w:cs="Arial"/>
          <w:lang w:val="fr-FR"/>
        </w:rPr>
      </w:pPr>
    </w:p>
    <w:p w14:paraId="73658F67" w14:textId="77777777" w:rsidR="008E10E7" w:rsidRDefault="008E10E7">
      <w:pPr>
        <w:suppressAutoHyphens/>
        <w:jc w:val="both"/>
        <w:rPr>
          <w:rFonts w:ascii="Arial" w:hAnsi="Arial" w:cs="Arial"/>
          <w:lang w:val="fr-FR"/>
        </w:rPr>
      </w:pPr>
      <w:r>
        <w:rPr>
          <w:rFonts w:ascii="Arial" w:hAnsi="Arial" w:cs="Arial"/>
          <w:b/>
          <w:bCs/>
          <w:lang w:val="fr-FR"/>
        </w:rPr>
        <w:t>Dimensions</w:t>
      </w:r>
    </w:p>
    <w:p w14:paraId="1A3B5BBB" w14:textId="77777777" w:rsidR="008E10E7" w:rsidRDefault="008E10E7">
      <w:pPr>
        <w:suppressAutoHyphens/>
        <w:jc w:val="both"/>
        <w:rPr>
          <w:rFonts w:ascii="Arial" w:hAnsi="Arial" w:cs="Arial"/>
          <w:lang w:val="fr-FR"/>
        </w:rPr>
      </w:pPr>
    </w:p>
    <w:p w14:paraId="723ACB67" w14:textId="77777777" w:rsidR="008E10E7" w:rsidRDefault="008E10E7">
      <w:pPr>
        <w:tabs>
          <w:tab w:val="left" w:pos="1701"/>
        </w:tabs>
        <w:suppressAutoHyphens/>
        <w:jc w:val="both"/>
        <w:rPr>
          <w:rFonts w:ascii="Arial" w:hAnsi="Arial" w:cs="Arial"/>
          <w:lang w:val="fr-FR"/>
        </w:rPr>
      </w:pPr>
      <w:r>
        <w:rPr>
          <w:rFonts w:ascii="Arial" w:hAnsi="Arial" w:cs="Arial"/>
          <w:lang w:val="fr-FR"/>
        </w:rPr>
        <w:t>Longueur:</w:t>
      </w:r>
      <w:r>
        <w:rPr>
          <w:rFonts w:ascii="Arial" w:hAnsi="Arial" w:cs="Arial"/>
          <w:lang w:val="fr-FR"/>
        </w:rPr>
        <w:tab/>
        <w:t>530 mm</w:t>
      </w:r>
    </w:p>
    <w:p w14:paraId="549A30A4" w14:textId="77777777" w:rsidR="008E10E7" w:rsidRDefault="008E10E7">
      <w:pPr>
        <w:tabs>
          <w:tab w:val="left" w:pos="1701"/>
        </w:tabs>
        <w:suppressAutoHyphens/>
        <w:jc w:val="both"/>
        <w:rPr>
          <w:rFonts w:ascii="Arial" w:hAnsi="Arial" w:cs="Arial"/>
          <w:lang w:val="fr-FR"/>
        </w:rPr>
      </w:pPr>
      <w:r>
        <w:rPr>
          <w:rFonts w:ascii="Arial" w:hAnsi="Arial" w:cs="Arial"/>
          <w:lang w:val="fr-FR"/>
        </w:rPr>
        <w:t>Largeur:</w:t>
      </w:r>
      <w:r>
        <w:rPr>
          <w:rFonts w:ascii="Arial" w:hAnsi="Arial" w:cs="Arial"/>
          <w:lang w:val="fr-FR"/>
        </w:rPr>
        <w:tab/>
        <w:t>325 mm</w:t>
      </w:r>
    </w:p>
    <w:p w14:paraId="3A48F818" w14:textId="77777777" w:rsidR="008E10E7" w:rsidRDefault="008E10E7">
      <w:pPr>
        <w:tabs>
          <w:tab w:val="left" w:pos="1701"/>
        </w:tabs>
        <w:suppressAutoHyphens/>
        <w:jc w:val="both"/>
        <w:rPr>
          <w:rFonts w:ascii="Arial" w:hAnsi="Arial" w:cs="Arial"/>
          <w:lang w:val="fr-FR"/>
        </w:rPr>
      </w:pPr>
      <w:r>
        <w:rPr>
          <w:rFonts w:ascii="Arial" w:hAnsi="Arial" w:cs="Arial"/>
          <w:lang w:val="fr-FR"/>
        </w:rPr>
        <w:t>Hauteur :</w:t>
      </w:r>
      <w:r>
        <w:rPr>
          <w:rFonts w:ascii="Arial" w:hAnsi="Arial" w:cs="Arial"/>
          <w:lang w:val="fr-FR"/>
        </w:rPr>
        <w:tab/>
        <w:t xml:space="preserve">  20 mm</w:t>
      </w:r>
      <w:r>
        <w:rPr>
          <w:rFonts w:ascii="Arial" w:hAnsi="Arial" w:cs="Arial"/>
          <w:lang w:val="fr-FR"/>
        </w:rPr>
        <w:tab/>
        <w:t xml:space="preserve">   </w:t>
      </w:r>
    </w:p>
    <w:p w14:paraId="1C627581" w14:textId="77777777" w:rsidR="008E10E7" w:rsidRDefault="008E10E7">
      <w:pPr>
        <w:suppressAutoHyphens/>
        <w:jc w:val="both"/>
        <w:rPr>
          <w:rFonts w:ascii="Arial" w:hAnsi="Arial" w:cs="Arial"/>
          <w:lang w:val="fr-FR"/>
        </w:rPr>
      </w:pPr>
      <w:r>
        <w:rPr>
          <w:rFonts w:ascii="Arial" w:hAnsi="Arial" w:cs="Arial"/>
          <w:lang w:val="fr-FR"/>
        </w:rPr>
        <w:t xml:space="preserve">  </w:t>
      </w:r>
    </w:p>
    <w:p w14:paraId="0842A5F7" w14:textId="77777777" w:rsidR="008E10E7" w:rsidRDefault="008E10E7">
      <w:pPr>
        <w:suppressAutoHyphens/>
        <w:jc w:val="both"/>
        <w:rPr>
          <w:rFonts w:ascii="Arial" w:hAnsi="Arial" w:cs="Arial"/>
          <w:lang w:val="fr-FR"/>
        </w:rPr>
      </w:pPr>
      <w:r>
        <w:rPr>
          <w:rFonts w:ascii="Arial" w:hAnsi="Arial" w:cs="Arial"/>
          <w:lang w:val="fr-FR"/>
        </w:rPr>
        <w:t xml:space="preserve">  </w:t>
      </w:r>
    </w:p>
    <w:p w14:paraId="7FE5AEDF" w14:textId="77777777" w:rsidR="008E10E7" w:rsidRDefault="008E10E7">
      <w:pPr>
        <w:suppressAutoHyphens/>
        <w:jc w:val="both"/>
        <w:rPr>
          <w:rFonts w:ascii="Arial" w:hAnsi="Arial" w:cs="Arial"/>
          <w:b/>
          <w:bCs/>
          <w:lang w:val="fr-FR"/>
        </w:rPr>
      </w:pPr>
      <w:r>
        <w:rPr>
          <w:rFonts w:ascii="Arial" w:hAnsi="Arial" w:cs="Arial"/>
          <w:b/>
          <w:bCs/>
          <w:lang w:val="fr-FR"/>
        </w:rPr>
        <w:t xml:space="preserve">Version </w:t>
      </w:r>
    </w:p>
    <w:p w14:paraId="29729F6B" w14:textId="77777777" w:rsidR="008E10E7" w:rsidRDefault="008E10E7">
      <w:pPr>
        <w:pStyle w:val="toa"/>
        <w:tabs>
          <w:tab w:val="clear" w:pos="9000"/>
          <w:tab w:val="clear" w:pos="9360"/>
        </w:tabs>
        <w:jc w:val="both"/>
        <w:rPr>
          <w:rFonts w:ascii="Arial" w:hAnsi="Arial" w:cs="Arial"/>
          <w:lang w:val="fr-FR"/>
        </w:rPr>
      </w:pPr>
    </w:p>
    <w:p w14:paraId="2D5A8FD5" w14:textId="77777777" w:rsidR="008E10E7" w:rsidRDefault="008E10E7">
      <w:pPr>
        <w:pStyle w:val="toa"/>
        <w:tabs>
          <w:tab w:val="clear" w:pos="9000"/>
          <w:tab w:val="clear" w:pos="9360"/>
        </w:tabs>
        <w:jc w:val="both"/>
        <w:rPr>
          <w:rFonts w:ascii="Arial" w:hAnsi="Arial" w:cs="Arial"/>
          <w:lang w:val="fr-FR"/>
        </w:rPr>
      </w:pPr>
      <w:bookmarkStart w:id="0" w:name="ICI"/>
      <w:r>
        <w:rPr>
          <w:rFonts w:ascii="Arial" w:hAnsi="Arial" w:cs="Arial"/>
          <w:lang w:val="fr-FR"/>
        </w:rPr>
        <w:t xml:space="preserve">Le couvercle d'étanchéité Gastronorm est fabriqué en acier inoxydable 18/10, numéro de matériau 1.4301 et est embouti sans soudure. Le bord profilé périphérique assure une précision d'ajustage optimale du couvercle sur le récipient Gastronorm respectif. Afin d'augmenter la rigidité et la stabilité, le couvercle est pourvu d'un gaufrage jusqu'à la zone de bordure. Au milieu du couvercle GN se trouve la poignée encastrée avec poignée martelée facilitant le soulèvement du couvercle. </w:t>
      </w:r>
    </w:p>
    <w:bookmarkEnd w:id="0"/>
    <w:p w14:paraId="064CAE8E" w14:textId="77777777" w:rsidR="008E10E7" w:rsidRDefault="008E10E7">
      <w:pPr>
        <w:suppressAutoHyphens/>
        <w:jc w:val="both"/>
        <w:rPr>
          <w:rFonts w:ascii="Arial" w:hAnsi="Arial" w:cs="Arial"/>
          <w:lang w:val="fr-FR"/>
        </w:rPr>
      </w:pPr>
    </w:p>
    <w:p w14:paraId="46D13EB3" w14:textId="77777777" w:rsidR="008E10E7" w:rsidRDefault="008E10E7">
      <w:pPr>
        <w:suppressAutoHyphens/>
        <w:jc w:val="both"/>
        <w:rPr>
          <w:rFonts w:ascii="Arial" w:hAnsi="Arial" w:cs="Arial"/>
          <w:lang w:val="fr-FR"/>
        </w:rPr>
      </w:pPr>
      <w:r>
        <w:rPr>
          <w:rFonts w:ascii="Arial" w:hAnsi="Arial" w:cs="Arial"/>
          <w:lang w:val="fr-FR"/>
        </w:rPr>
        <w:t xml:space="preserve">Afin d'assurer un transport sans éclaboussures, le couvercle GN est pourvu d'un joint à la silicone de qualité alimentaire. Le joint à la silicone résiste aux températures jusqu'à +180°C et est fixé mécaniquement au bord de couvercle GN. Il existe une liaison mécanique permanente entre le couvercle en acier inoxydable et le joint à la silicone. Le couvercle possède en outre un trou de dégazage (diamètre 5 mm). Le trou de dégazage assure la compensation de pression dans le récipient et permet un soulèvement et enlèvement simples du couvercle. </w:t>
      </w:r>
    </w:p>
    <w:p w14:paraId="645F2CF2" w14:textId="77777777" w:rsidR="008E10E7" w:rsidRDefault="008E10E7">
      <w:pPr>
        <w:suppressAutoHyphens/>
        <w:jc w:val="both"/>
        <w:rPr>
          <w:rFonts w:ascii="Arial" w:hAnsi="Arial" w:cs="Arial"/>
          <w:lang w:val="fr-FR"/>
        </w:rPr>
      </w:pPr>
      <w:r>
        <w:rPr>
          <w:rFonts w:ascii="Arial" w:hAnsi="Arial" w:cs="Arial"/>
          <w:lang w:val="fr-FR"/>
        </w:rPr>
        <w:t xml:space="preserve">  </w:t>
      </w:r>
    </w:p>
    <w:p w14:paraId="324C2A8A" w14:textId="77777777" w:rsidR="008E10E7" w:rsidRDefault="008E10E7">
      <w:pPr>
        <w:suppressAutoHyphens/>
        <w:jc w:val="both"/>
        <w:rPr>
          <w:rFonts w:ascii="Arial" w:hAnsi="Arial" w:cs="Arial"/>
          <w:lang w:val="fr-FR"/>
        </w:rPr>
      </w:pPr>
    </w:p>
    <w:p w14:paraId="2F08B5D1" w14:textId="77777777" w:rsidR="008E10E7" w:rsidRDefault="008E10E7">
      <w:pPr>
        <w:suppressAutoHyphens/>
        <w:jc w:val="both"/>
        <w:rPr>
          <w:rFonts w:ascii="Arial" w:hAnsi="Arial" w:cs="Arial"/>
          <w:b/>
          <w:bCs/>
          <w:lang w:val="fr-FR"/>
        </w:rPr>
      </w:pPr>
      <w:r>
        <w:rPr>
          <w:rFonts w:ascii="Arial" w:hAnsi="Arial" w:cs="Arial"/>
          <w:b/>
          <w:bCs/>
          <w:lang w:val="fr-FR"/>
        </w:rPr>
        <w:t>Données techniques</w:t>
      </w:r>
    </w:p>
    <w:p w14:paraId="7C33E9EA" w14:textId="77777777" w:rsidR="008E10E7" w:rsidRDefault="008E10E7">
      <w:pPr>
        <w:tabs>
          <w:tab w:val="left" w:pos="2268"/>
        </w:tabs>
        <w:suppressAutoHyphens/>
        <w:jc w:val="both"/>
        <w:rPr>
          <w:rFonts w:ascii="Arial" w:hAnsi="Arial" w:cs="Arial"/>
          <w:lang w:val="fr-FR"/>
        </w:rPr>
      </w:pPr>
    </w:p>
    <w:p w14:paraId="6EA1B1C9" w14:textId="77777777" w:rsidR="008E10E7" w:rsidRDefault="008E10E7">
      <w:pPr>
        <w:tabs>
          <w:tab w:val="left" w:pos="2268"/>
        </w:tabs>
        <w:suppressAutoHyphens/>
        <w:jc w:val="both"/>
        <w:rPr>
          <w:rFonts w:ascii="Arial" w:hAnsi="Arial" w:cs="Arial"/>
          <w:lang w:val="fr-FR"/>
        </w:rPr>
      </w:pPr>
      <w:r>
        <w:rPr>
          <w:rFonts w:ascii="Arial" w:hAnsi="Arial" w:cs="Arial"/>
          <w:lang w:val="fr-FR"/>
        </w:rPr>
        <w:t>Matériau:</w:t>
      </w:r>
      <w:r>
        <w:rPr>
          <w:rFonts w:ascii="Arial" w:hAnsi="Arial" w:cs="Arial"/>
          <w:lang w:val="fr-FR"/>
        </w:rPr>
        <w:tab/>
        <w:t>Inox 18/10 - 1.4301</w:t>
      </w:r>
    </w:p>
    <w:p w14:paraId="4C2E6EEB" w14:textId="77777777" w:rsidR="008E10E7" w:rsidRDefault="008E10E7">
      <w:pPr>
        <w:tabs>
          <w:tab w:val="left" w:pos="2268"/>
        </w:tabs>
        <w:suppressAutoHyphens/>
        <w:jc w:val="both"/>
        <w:rPr>
          <w:rFonts w:ascii="Arial" w:hAnsi="Arial" w:cs="Arial"/>
          <w:lang w:val="it-IT"/>
        </w:rPr>
      </w:pPr>
      <w:r>
        <w:rPr>
          <w:rFonts w:ascii="Arial" w:hAnsi="Arial" w:cs="Arial"/>
          <w:lang w:val="fr-FR"/>
        </w:rPr>
        <w:tab/>
      </w:r>
      <w:r>
        <w:rPr>
          <w:rFonts w:ascii="Arial" w:hAnsi="Arial" w:cs="Arial"/>
          <w:lang w:val="it-IT"/>
        </w:rPr>
        <w:t>Silicone, teinte RAL 5000</w:t>
      </w:r>
    </w:p>
    <w:p w14:paraId="2C6213CD" w14:textId="77777777" w:rsidR="008E10E7" w:rsidRDefault="008E10E7">
      <w:pPr>
        <w:suppressAutoHyphens/>
        <w:jc w:val="both"/>
        <w:rPr>
          <w:rFonts w:ascii="Arial" w:hAnsi="Arial" w:cs="Arial"/>
          <w:lang w:val="fr-FR"/>
        </w:rPr>
      </w:pPr>
      <w:r>
        <w:rPr>
          <w:rFonts w:ascii="Arial" w:hAnsi="Arial" w:cs="Arial"/>
          <w:lang w:val="fr-FR"/>
        </w:rPr>
        <w:t>Normes:</w:t>
      </w:r>
      <w:r>
        <w:rPr>
          <w:rFonts w:ascii="Arial" w:hAnsi="Arial" w:cs="Arial"/>
          <w:lang w:val="fr-FR"/>
        </w:rPr>
        <w:tab/>
      </w:r>
      <w:r>
        <w:rPr>
          <w:rFonts w:ascii="Arial" w:hAnsi="Arial" w:cs="Arial"/>
          <w:lang w:val="fr-FR"/>
        </w:rPr>
        <w:tab/>
        <w:t xml:space="preserve">  DIN EN 631</w:t>
      </w:r>
    </w:p>
    <w:p w14:paraId="499E5E90" w14:textId="77777777" w:rsidR="008E10E7" w:rsidRDefault="008E10E7">
      <w:pPr>
        <w:suppressAutoHyphens/>
        <w:jc w:val="both"/>
        <w:rPr>
          <w:rFonts w:ascii="Arial" w:hAnsi="Arial" w:cs="Arial"/>
          <w:lang w:val="fr-FR"/>
        </w:rPr>
      </w:pPr>
    </w:p>
    <w:p w14:paraId="5B9E91E7" w14:textId="77777777" w:rsidR="008E10E7" w:rsidRDefault="008E10E7">
      <w:pPr>
        <w:suppressAutoHyphens/>
        <w:jc w:val="both"/>
        <w:rPr>
          <w:rFonts w:ascii="Arial" w:hAnsi="Arial" w:cs="Arial"/>
          <w:lang w:val="fr-FR"/>
        </w:rPr>
      </w:pPr>
    </w:p>
    <w:p w14:paraId="6D5031B8" w14:textId="77777777" w:rsidR="008E10E7" w:rsidRDefault="008E10E7">
      <w:pPr>
        <w:pStyle w:val="berschrift3"/>
        <w:tabs>
          <w:tab w:val="clear" w:pos="1701"/>
          <w:tab w:val="left" w:pos="-720"/>
          <w:tab w:val="left" w:pos="2552"/>
          <w:tab w:val="left" w:pos="2835"/>
          <w:tab w:val="left" w:pos="3402"/>
          <w:tab w:val="left" w:pos="6912"/>
        </w:tabs>
        <w:suppressAutoHyphens/>
        <w:ind w:right="-283"/>
        <w:jc w:val="both"/>
        <w:rPr>
          <w:b w:val="0"/>
          <w:bCs w:val="0"/>
          <w:lang w:val="fr-FR"/>
        </w:rPr>
      </w:pPr>
      <w:r>
        <w:rPr>
          <w:b w:val="0"/>
          <w:bCs w:val="0"/>
          <w:lang w:val="fr-FR"/>
        </w:rPr>
        <w:br w:type="column"/>
      </w:r>
      <w:r>
        <w:rPr>
          <w:b w:val="0"/>
          <w:bCs w:val="0"/>
          <w:lang w:val="fr-FR"/>
        </w:rPr>
        <w:lastRenderedPageBreak/>
        <w:t xml:space="preserve">Particularité </w:t>
      </w:r>
    </w:p>
    <w:p w14:paraId="389041C7" w14:textId="77777777" w:rsidR="008E10E7" w:rsidRDefault="008E10E7">
      <w:pPr>
        <w:suppressAutoHyphens/>
        <w:jc w:val="both"/>
        <w:rPr>
          <w:rFonts w:ascii="Arial" w:hAnsi="Arial" w:cs="Arial"/>
          <w:lang w:val="fr-FR"/>
        </w:rPr>
      </w:pPr>
    </w:p>
    <w:p w14:paraId="1138325B" w14:textId="77777777" w:rsidR="008E10E7" w:rsidRDefault="008E10E7">
      <w:pPr>
        <w:numPr>
          <w:ilvl w:val="0"/>
          <w:numId w:val="1"/>
        </w:numPr>
        <w:suppressAutoHyphens/>
        <w:jc w:val="both"/>
        <w:rPr>
          <w:rFonts w:ascii="Arial" w:hAnsi="Arial" w:cs="Arial"/>
          <w:lang w:val="fr-FR"/>
        </w:rPr>
      </w:pPr>
      <w:r>
        <w:rPr>
          <w:rFonts w:ascii="Arial" w:hAnsi="Arial" w:cs="Arial"/>
          <w:lang w:val="fr-FR"/>
        </w:rPr>
        <w:t>Joint mécanique</w:t>
      </w:r>
    </w:p>
    <w:p w14:paraId="33F09657" w14:textId="77777777" w:rsidR="008E10E7" w:rsidRDefault="008E10E7">
      <w:pPr>
        <w:numPr>
          <w:ilvl w:val="0"/>
          <w:numId w:val="1"/>
        </w:numPr>
        <w:suppressAutoHyphens/>
        <w:jc w:val="both"/>
        <w:rPr>
          <w:rFonts w:ascii="Arial" w:hAnsi="Arial" w:cs="Arial"/>
          <w:lang w:val="fr-FR"/>
        </w:rPr>
      </w:pPr>
      <w:r>
        <w:rPr>
          <w:rFonts w:ascii="Arial" w:hAnsi="Arial" w:cs="Arial"/>
          <w:lang w:val="fr-FR"/>
        </w:rPr>
        <w:t xml:space="preserve">Liaison mécanique permanente entre le couvercle en acier inoxydable et le joint à la silicone </w:t>
      </w:r>
    </w:p>
    <w:p w14:paraId="2FC453CF" w14:textId="77777777" w:rsidR="008E10E7" w:rsidRDefault="008E10E7">
      <w:pPr>
        <w:suppressAutoHyphens/>
        <w:jc w:val="both"/>
        <w:rPr>
          <w:rFonts w:ascii="Arial" w:hAnsi="Arial" w:cs="Arial"/>
          <w:lang w:val="fr-FR"/>
        </w:rPr>
      </w:pPr>
    </w:p>
    <w:p w14:paraId="19CFFBA0" w14:textId="77777777" w:rsidR="008E10E7" w:rsidRDefault="008E10E7">
      <w:pPr>
        <w:suppressAutoHyphens/>
        <w:jc w:val="both"/>
        <w:rPr>
          <w:rFonts w:ascii="Arial" w:hAnsi="Arial" w:cs="Arial"/>
          <w:lang w:val="fr-FR"/>
        </w:rPr>
      </w:pPr>
    </w:p>
    <w:p w14:paraId="5AF4F148" w14:textId="77777777" w:rsidR="008E10E7" w:rsidRDefault="008E10E7">
      <w:pPr>
        <w:suppressAutoHyphens/>
        <w:jc w:val="both"/>
        <w:rPr>
          <w:rFonts w:ascii="Arial" w:hAnsi="Arial" w:cs="Arial"/>
          <w:b/>
          <w:bCs/>
          <w:lang w:val="fr-FR"/>
        </w:rPr>
      </w:pPr>
      <w:r>
        <w:rPr>
          <w:rFonts w:ascii="Arial" w:hAnsi="Arial" w:cs="Arial"/>
          <w:b/>
          <w:bCs/>
          <w:lang w:val="fr-FR"/>
        </w:rPr>
        <w:t xml:space="preserve">Marque    </w:t>
      </w:r>
    </w:p>
    <w:p w14:paraId="01D92DED" w14:textId="77777777" w:rsidR="008E10E7" w:rsidRDefault="008E10E7">
      <w:pPr>
        <w:suppressAutoHyphens/>
        <w:jc w:val="both"/>
        <w:rPr>
          <w:rFonts w:ascii="Arial" w:hAnsi="Arial" w:cs="Arial"/>
          <w:b/>
          <w:bCs/>
          <w:lang w:val="fr-FR"/>
        </w:rPr>
      </w:pPr>
    </w:p>
    <w:p w14:paraId="03C39D9D" w14:textId="77777777" w:rsidR="008E10E7" w:rsidRDefault="008E10E7">
      <w:pPr>
        <w:tabs>
          <w:tab w:val="left" w:pos="2268"/>
        </w:tabs>
        <w:suppressAutoHyphens/>
        <w:jc w:val="both"/>
        <w:rPr>
          <w:rFonts w:ascii="Arial" w:hAnsi="Arial" w:cs="Arial"/>
          <w:lang w:val="fr-FR"/>
        </w:rPr>
      </w:pPr>
      <w:r>
        <w:rPr>
          <w:rFonts w:ascii="Arial" w:hAnsi="Arial" w:cs="Arial"/>
          <w:lang w:val="fr-FR"/>
        </w:rPr>
        <w:t xml:space="preserve">Fabricant:        </w:t>
      </w:r>
      <w:r>
        <w:rPr>
          <w:rFonts w:ascii="Arial" w:hAnsi="Arial" w:cs="Arial"/>
          <w:lang w:val="fr-FR"/>
        </w:rPr>
        <w:tab/>
      </w:r>
      <w:r w:rsidR="00D63F89" w:rsidRPr="00D63F89">
        <w:rPr>
          <w:rFonts w:ascii="Arial" w:hAnsi="Arial" w:cs="Arial"/>
          <w:lang w:val="fr-FR"/>
        </w:rPr>
        <w:t>B.PRO</w:t>
      </w:r>
    </w:p>
    <w:p w14:paraId="02825294" w14:textId="77777777" w:rsidR="008E10E7" w:rsidRDefault="008E10E7">
      <w:pPr>
        <w:tabs>
          <w:tab w:val="left" w:pos="2268"/>
        </w:tabs>
        <w:suppressAutoHyphens/>
        <w:jc w:val="both"/>
        <w:rPr>
          <w:rFonts w:ascii="Arial" w:hAnsi="Arial" w:cs="Arial"/>
          <w:lang w:val="fr-FR"/>
        </w:rPr>
      </w:pPr>
      <w:r>
        <w:rPr>
          <w:rFonts w:ascii="Arial" w:hAnsi="Arial" w:cs="Arial"/>
          <w:lang w:val="fr-FR"/>
        </w:rPr>
        <w:t xml:space="preserve">Type:               </w:t>
      </w:r>
      <w:r>
        <w:rPr>
          <w:rFonts w:ascii="Arial" w:hAnsi="Arial" w:cs="Arial"/>
          <w:lang w:val="fr-FR"/>
        </w:rPr>
        <w:tab/>
        <w:t xml:space="preserve">GDD 1/1    </w:t>
      </w:r>
    </w:p>
    <w:p w14:paraId="5CA6A742" w14:textId="77777777" w:rsidR="008E10E7" w:rsidRDefault="008E10E7">
      <w:pPr>
        <w:suppressAutoHyphens/>
        <w:jc w:val="both"/>
        <w:rPr>
          <w:rFonts w:ascii="Arial" w:hAnsi="Arial" w:cs="Arial"/>
          <w:lang w:val="fr-FR"/>
        </w:rPr>
      </w:pPr>
      <w:r>
        <w:rPr>
          <w:rFonts w:ascii="Arial" w:hAnsi="Arial" w:cs="Arial"/>
          <w:lang w:val="fr-FR"/>
        </w:rPr>
        <w:t>Référence:</w:t>
      </w:r>
      <w:r>
        <w:rPr>
          <w:rFonts w:ascii="Arial" w:hAnsi="Arial" w:cs="Arial"/>
          <w:b/>
          <w:bCs/>
          <w:lang w:val="fr-FR"/>
        </w:rPr>
        <w:t xml:space="preserve">  </w:t>
      </w:r>
      <w:r>
        <w:rPr>
          <w:rFonts w:ascii="Arial" w:hAnsi="Arial" w:cs="Arial"/>
          <w:lang w:val="fr-FR"/>
        </w:rPr>
        <w:t xml:space="preserve">       </w:t>
      </w:r>
      <w:r>
        <w:rPr>
          <w:rFonts w:ascii="Arial" w:hAnsi="Arial" w:cs="Arial"/>
          <w:lang w:val="fr-FR"/>
        </w:rPr>
        <w:tab/>
        <w:t xml:space="preserve">  1550663</w:t>
      </w:r>
    </w:p>
    <w:p w14:paraId="006B8612" w14:textId="77777777" w:rsidR="008E10E7" w:rsidRDefault="008E10E7">
      <w:pPr>
        <w:suppressAutoHyphens/>
        <w:jc w:val="both"/>
        <w:rPr>
          <w:rFonts w:ascii="Arial" w:hAnsi="Arial" w:cs="Arial"/>
          <w:lang w:val="fr-FR"/>
        </w:rPr>
      </w:pPr>
    </w:p>
    <w:p w14:paraId="38032420" w14:textId="77777777" w:rsidR="008E10E7" w:rsidRDefault="008E10E7">
      <w:pPr>
        <w:suppressAutoHyphens/>
        <w:jc w:val="both"/>
        <w:rPr>
          <w:rFonts w:ascii="Arial" w:hAnsi="Arial" w:cs="Arial"/>
          <w:lang w:val="fr-FR"/>
        </w:rPr>
      </w:pPr>
    </w:p>
    <w:p w14:paraId="6B8DB352" w14:textId="77777777" w:rsidR="008E10E7" w:rsidRDefault="008E10E7">
      <w:pPr>
        <w:suppressAutoHyphens/>
        <w:jc w:val="both"/>
        <w:rPr>
          <w:rFonts w:ascii="Arial" w:hAnsi="Arial" w:cs="Arial"/>
          <w:lang w:val="fr-FR"/>
        </w:rPr>
      </w:pPr>
    </w:p>
    <w:p w14:paraId="362531F9" w14:textId="77777777" w:rsidR="008E10E7" w:rsidRDefault="008E10E7">
      <w:pPr>
        <w:suppressAutoHyphens/>
        <w:jc w:val="both"/>
        <w:rPr>
          <w:rFonts w:ascii="Arial" w:hAnsi="Arial" w:cs="Arial"/>
          <w:lang w:val="fr-FR"/>
        </w:rPr>
      </w:pPr>
    </w:p>
    <w:sectPr w:rsidR="008E10E7">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9FC20" w14:textId="77777777" w:rsidR="00D4735B" w:rsidRDefault="00D4735B">
      <w:pPr>
        <w:spacing w:line="20" w:lineRule="exact"/>
      </w:pPr>
    </w:p>
  </w:endnote>
  <w:endnote w:type="continuationSeparator" w:id="0">
    <w:p w14:paraId="17059E70" w14:textId="77777777" w:rsidR="00D4735B" w:rsidRDefault="00D4735B">
      <w:r>
        <w:t xml:space="preserve"> </w:t>
      </w:r>
    </w:p>
  </w:endnote>
  <w:endnote w:type="continuationNotice" w:id="1">
    <w:p w14:paraId="71262C95" w14:textId="77777777" w:rsidR="00D4735B" w:rsidRDefault="00D4735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086B8" w14:textId="77777777" w:rsidR="008E10E7" w:rsidRDefault="008E10E7">
    <w:pPr>
      <w:pStyle w:val="Fuzeile"/>
    </w:pPr>
    <w:r>
      <w:rPr>
        <w:rFonts w:ascii="Arial" w:hAnsi="Arial" w:cs="Arial"/>
        <w:noProof/>
        <w:sz w:val="16"/>
        <w:szCs w:val="16"/>
      </w:rPr>
      <w:t>LV-Text GDD 1/1/ Version 2.0/ Herbstreith, Schreiter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AE790" w14:textId="77777777" w:rsidR="00D4735B" w:rsidRDefault="00D4735B">
      <w:r>
        <w:separator/>
      </w:r>
    </w:p>
  </w:footnote>
  <w:footnote w:type="continuationSeparator" w:id="0">
    <w:p w14:paraId="4E64F682" w14:textId="77777777" w:rsidR="00D4735B" w:rsidRDefault="00D47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multilevel"/>
    <w:tmpl w:val="23B8B6EA"/>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hyphenationZone w:val="950"/>
  <w:doNotHyphenateCaps/>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4D06"/>
    <w:rsid w:val="00654D06"/>
    <w:rsid w:val="00732C5C"/>
    <w:rsid w:val="008E10E7"/>
    <w:rsid w:val="00D4735B"/>
    <w:rsid w:val="00D63F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D0B9212"/>
  <w15:chartTrackingRefBased/>
  <w15:docId w15:val="{9131B917-70F4-4881-8942-D100B7C57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ourier New" w:hAnsi="Courier New" w:cs="Courier New"/>
      <w:snapToGrid w:val="0"/>
      <w:sz w:val="24"/>
      <w:szCs w:val="24"/>
    </w:rPr>
  </w:style>
  <w:style w:type="paragraph" w:styleId="berschrift3">
    <w:name w:val="heading 3"/>
    <w:basedOn w:val="Standard"/>
    <w:next w:val="Standard"/>
    <w:qFormat/>
    <w:pPr>
      <w:keepNext/>
      <w:tabs>
        <w:tab w:val="left" w:pos="1701"/>
      </w:tabs>
      <w:outlineLvl w:val="2"/>
    </w:pPr>
    <w:rPr>
      <w:rFonts w:ascii="Arial" w:hAnsi="Arial" w:cs="Arial"/>
      <w:b/>
      <w:bCs/>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autoRedefine/>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autoRedefine/>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autoRedefine/>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autoRedefine/>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autoRedefine/>
    <w:semiHidden/>
    <w:pPr>
      <w:tabs>
        <w:tab w:val="left" w:pos="9000"/>
        <w:tab w:val="right" w:pos="9360"/>
      </w:tabs>
      <w:suppressAutoHyphens/>
      <w:ind w:left="720" w:hanging="720"/>
    </w:pPr>
    <w:rPr>
      <w:lang w:val="en-US"/>
    </w:rPr>
  </w:style>
  <w:style w:type="paragraph" w:styleId="Verzeichnis7">
    <w:name w:val="toc 7"/>
    <w:basedOn w:val="Standard"/>
    <w:next w:val="Standard"/>
    <w:autoRedefine/>
    <w:semiHidden/>
    <w:pPr>
      <w:suppressAutoHyphens/>
      <w:ind w:left="720" w:hanging="720"/>
    </w:pPr>
    <w:rPr>
      <w:lang w:val="en-US"/>
    </w:rPr>
  </w:style>
  <w:style w:type="paragraph" w:styleId="Verzeichnis8">
    <w:name w:val="toc 8"/>
    <w:basedOn w:val="Standard"/>
    <w:next w:val="Standard"/>
    <w:autoRedefine/>
    <w:semiHidden/>
    <w:pPr>
      <w:tabs>
        <w:tab w:val="left" w:pos="9000"/>
        <w:tab w:val="right" w:pos="9360"/>
      </w:tabs>
      <w:suppressAutoHyphens/>
      <w:ind w:left="720" w:hanging="720"/>
    </w:pPr>
    <w:rPr>
      <w:lang w:val="en-US"/>
    </w:rPr>
  </w:style>
  <w:style w:type="paragraph" w:styleId="Verzeichnis9">
    <w:name w:val="toc 9"/>
    <w:basedOn w:val="Standard"/>
    <w:next w:val="Standard"/>
    <w:autoRedefine/>
    <w:semiHidden/>
    <w:pPr>
      <w:tabs>
        <w:tab w:val="left" w:leader="dot" w:pos="9000"/>
        <w:tab w:val="right" w:pos="9360"/>
      </w:tabs>
      <w:suppressAutoHyphens/>
      <w:ind w:left="720" w:hanging="720"/>
    </w:pPr>
    <w:rPr>
      <w:lang w:val="en-US"/>
    </w:rPr>
  </w:style>
  <w:style w:type="paragraph" w:styleId="Index1">
    <w:name w:val="index 1"/>
    <w:basedOn w:val="Standard"/>
    <w:next w:val="Standard"/>
    <w:autoRedefine/>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autoRedefine/>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
    <w:name w:val="Body Text"/>
    <w:basedOn w:val="Standard"/>
    <w:semiHidden/>
    <w:pPr>
      <w:suppressAutoHyphens/>
      <w:ind w:right="454"/>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207</Words>
  <Characters>1308</Characters>
  <Application>Microsoft Office Word</Application>
  <DocSecurity>4</DocSecurity>
  <Lines>10</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Tanner Translations GmbH+Co</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B.PRO</dc:subject>
  <dc:creator>Tanner Translations GmbH+Co</dc:creator>
  <cp:keywords/>
  <dc:description/>
  <cp:lastModifiedBy>DayWorker S.</cp:lastModifiedBy>
  <cp:revision>2</cp:revision>
  <cp:lastPrinted>2005-01-13T10:51:00Z</cp:lastPrinted>
  <dcterms:created xsi:type="dcterms:W3CDTF">2021-09-25T20:12:00Z</dcterms:created>
  <dcterms:modified xsi:type="dcterms:W3CDTF">2021-09-25T20:12:00Z</dcterms:modified>
</cp:coreProperties>
</file>